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C9" w:rsidRDefault="008F3EC9" w:rsidP="004C4908">
      <w:pPr>
        <w:tabs>
          <w:tab w:val="left" w:pos="2344"/>
        </w:tabs>
        <w:rPr>
          <w:rFonts w:ascii="Calibri" w:hAnsi="Calibri"/>
          <w:sz w:val="28"/>
          <w:szCs w:val="20"/>
        </w:rPr>
      </w:pPr>
    </w:p>
    <w:p w:rsidR="0060505D" w:rsidRDefault="0060505D" w:rsidP="004C4908">
      <w:pPr>
        <w:tabs>
          <w:tab w:val="left" w:pos="2344"/>
        </w:tabs>
        <w:rPr>
          <w:rFonts w:ascii="Calibri" w:hAnsi="Calibri"/>
          <w:sz w:val="28"/>
          <w:szCs w:val="20"/>
        </w:rPr>
      </w:pPr>
    </w:p>
    <w:p w:rsidR="0060505D" w:rsidRDefault="0060505D" w:rsidP="004C4908">
      <w:pPr>
        <w:tabs>
          <w:tab w:val="left" w:pos="2344"/>
        </w:tabs>
        <w:rPr>
          <w:rFonts w:ascii="Calibri" w:hAnsi="Calibri"/>
          <w:sz w:val="28"/>
          <w:szCs w:val="20"/>
        </w:rPr>
      </w:pPr>
    </w:p>
    <w:p w:rsidR="0060505D" w:rsidRDefault="0060505D" w:rsidP="004C4908">
      <w:pPr>
        <w:tabs>
          <w:tab w:val="left" w:pos="2344"/>
        </w:tabs>
        <w:rPr>
          <w:rFonts w:ascii="Calibri" w:hAnsi="Calibri"/>
          <w:sz w:val="28"/>
          <w:szCs w:val="20"/>
        </w:rPr>
      </w:pPr>
    </w:p>
    <w:p w:rsidR="0060505D" w:rsidRDefault="0060505D" w:rsidP="0060505D">
      <w:pPr>
        <w:tabs>
          <w:tab w:val="left" w:pos="2344"/>
        </w:tabs>
        <w:jc w:val="center"/>
        <w:rPr>
          <w:rFonts w:ascii="Calibri" w:hAnsi="Calibri"/>
          <w:b/>
          <w:sz w:val="48"/>
          <w:szCs w:val="20"/>
        </w:rPr>
      </w:pPr>
      <w:r w:rsidRPr="0060505D">
        <w:rPr>
          <w:rFonts w:ascii="Calibri" w:hAnsi="Calibri"/>
          <w:b/>
          <w:sz w:val="48"/>
          <w:szCs w:val="20"/>
        </w:rPr>
        <w:t>Seminario di Aggiornamento</w:t>
      </w:r>
    </w:p>
    <w:p w:rsidR="000D1121" w:rsidRPr="000D1121" w:rsidRDefault="000D1121" w:rsidP="0060505D">
      <w:pPr>
        <w:tabs>
          <w:tab w:val="left" w:pos="2344"/>
        </w:tabs>
        <w:jc w:val="center"/>
        <w:rPr>
          <w:rFonts w:ascii="Calibri" w:hAnsi="Calibri"/>
          <w:b/>
          <w:sz w:val="36"/>
          <w:szCs w:val="20"/>
        </w:rPr>
      </w:pPr>
      <w:r w:rsidRPr="000D1121">
        <w:rPr>
          <w:rFonts w:ascii="Calibri" w:hAnsi="Calibri"/>
          <w:b/>
          <w:sz w:val="36"/>
          <w:szCs w:val="20"/>
        </w:rPr>
        <w:t>per Scuole di Specializzazione</w:t>
      </w:r>
    </w:p>
    <w:p w:rsidR="000D1121" w:rsidRPr="008C69AF" w:rsidRDefault="000D1121" w:rsidP="0060505D">
      <w:pPr>
        <w:tabs>
          <w:tab w:val="left" w:pos="2344"/>
        </w:tabs>
        <w:jc w:val="center"/>
        <w:rPr>
          <w:rFonts w:ascii="Calibri" w:hAnsi="Calibri"/>
          <w:b/>
          <w:sz w:val="36"/>
          <w:szCs w:val="20"/>
          <w:lang w:val="en-US"/>
        </w:rPr>
      </w:pPr>
      <w:r w:rsidRPr="008C69AF">
        <w:rPr>
          <w:rFonts w:ascii="Calibri" w:hAnsi="Calibri"/>
          <w:b/>
          <w:sz w:val="36"/>
          <w:szCs w:val="20"/>
          <w:lang w:val="en-US"/>
        </w:rPr>
        <w:t>Medicina Interna, Ematologia, Oncologia</w:t>
      </w:r>
    </w:p>
    <w:p w:rsidR="0060505D" w:rsidRPr="008C69AF" w:rsidRDefault="0060505D" w:rsidP="0060505D">
      <w:pPr>
        <w:tabs>
          <w:tab w:val="left" w:pos="2344"/>
        </w:tabs>
        <w:jc w:val="center"/>
        <w:rPr>
          <w:rFonts w:ascii="Calibri" w:hAnsi="Calibri"/>
          <w:b/>
          <w:sz w:val="40"/>
          <w:szCs w:val="20"/>
          <w:lang w:val="en-US"/>
        </w:rPr>
      </w:pPr>
    </w:p>
    <w:p w:rsidR="00424E75" w:rsidRPr="008C69AF" w:rsidRDefault="00424E75" w:rsidP="0060505D">
      <w:pPr>
        <w:tabs>
          <w:tab w:val="left" w:pos="2344"/>
        </w:tabs>
        <w:jc w:val="center"/>
        <w:rPr>
          <w:rFonts w:ascii="Calibri" w:hAnsi="Calibri"/>
          <w:b/>
          <w:sz w:val="40"/>
          <w:szCs w:val="20"/>
          <w:lang w:val="en-US"/>
        </w:rPr>
      </w:pPr>
    </w:p>
    <w:p w:rsidR="0060505D" w:rsidRPr="008C69AF" w:rsidRDefault="008C69AF" w:rsidP="0060505D">
      <w:pPr>
        <w:tabs>
          <w:tab w:val="left" w:pos="2344"/>
        </w:tabs>
        <w:jc w:val="center"/>
        <w:rPr>
          <w:rFonts w:ascii="Calibri" w:hAnsi="Calibri"/>
          <w:b/>
          <w:i/>
          <w:sz w:val="40"/>
          <w:szCs w:val="20"/>
          <w:lang w:val="en-US"/>
        </w:rPr>
      </w:pPr>
      <w:r w:rsidRPr="008C69AF">
        <w:rPr>
          <w:rFonts w:ascii="Calibri" w:hAnsi="Calibri"/>
          <w:b/>
          <w:i/>
          <w:sz w:val="40"/>
          <w:szCs w:val="20"/>
          <w:lang w:val="en-US"/>
        </w:rPr>
        <w:t>Introducing Daclatasvir: a new treatment option for patients with HCV infection</w:t>
      </w:r>
    </w:p>
    <w:p w:rsidR="0060505D" w:rsidRPr="008C69AF" w:rsidRDefault="0060505D" w:rsidP="0060505D">
      <w:pPr>
        <w:tabs>
          <w:tab w:val="left" w:pos="2344"/>
        </w:tabs>
        <w:jc w:val="center"/>
        <w:rPr>
          <w:rFonts w:ascii="Calibri" w:hAnsi="Calibri"/>
          <w:b/>
          <w:i/>
          <w:sz w:val="40"/>
          <w:szCs w:val="20"/>
          <w:lang w:val="en-US"/>
        </w:rPr>
      </w:pPr>
    </w:p>
    <w:p w:rsidR="00424E75" w:rsidRPr="008C69AF" w:rsidRDefault="00424E75" w:rsidP="0060505D">
      <w:pPr>
        <w:tabs>
          <w:tab w:val="left" w:pos="2344"/>
        </w:tabs>
        <w:jc w:val="center"/>
        <w:rPr>
          <w:rFonts w:ascii="Calibri" w:hAnsi="Calibri"/>
          <w:b/>
          <w:sz w:val="40"/>
          <w:szCs w:val="20"/>
          <w:lang w:val="en-US"/>
        </w:rPr>
      </w:pPr>
    </w:p>
    <w:p w:rsidR="0060505D" w:rsidRDefault="0060505D" w:rsidP="0060505D">
      <w:pPr>
        <w:tabs>
          <w:tab w:val="left" w:pos="2344"/>
        </w:tabs>
        <w:jc w:val="center"/>
        <w:rPr>
          <w:rFonts w:ascii="Calibri" w:hAnsi="Calibri"/>
          <w:sz w:val="40"/>
          <w:szCs w:val="20"/>
        </w:rPr>
      </w:pPr>
      <w:r w:rsidRPr="0060505D">
        <w:rPr>
          <w:rFonts w:ascii="Calibri" w:hAnsi="Calibri"/>
          <w:sz w:val="40"/>
          <w:szCs w:val="20"/>
        </w:rPr>
        <w:t>Ospite</w:t>
      </w:r>
    </w:p>
    <w:p w:rsidR="0060505D" w:rsidRPr="00424E75" w:rsidRDefault="008C69AF" w:rsidP="0060505D">
      <w:pPr>
        <w:tabs>
          <w:tab w:val="left" w:pos="2344"/>
        </w:tabs>
        <w:jc w:val="center"/>
        <w:rPr>
          <w:rFonts w:ascii="Calibri" w:hAnsi="Calibri"/>
          <w:sz w:val="44"/>
          <w:szCs w:val="20"/>
        </w:rPr>
      </w:pPr>
      <w:r>
        <w:rPr>
          <w:rFonts w:ascii="Calibri" w:hAnsi="Calibri"/>
          <w:sz w:val="44"/>
          <w:szCs w:val="20"/>
        </w:rPr>
        <w:t>Dott.ssa Benedetta Piergentili</w:t>
      </w:r>
    </w:p>
    <w:p w:rsidR="0060505D" w:rsidRPr="00424E75" w:rsidRDefault="008C69AF" w:rsidP="0060505D">
      <w:pPr>
        <w:tabs>
          <w:tab w:val="left" w:pos="2344"/>
        </w:tabs>
        <w:jc w:val="center"/>
        <w:rPr>
          <w:rFonts w:ascii="Calibri" w:hAnsi="Calibri"/>
          <w:sz w:val="36"/>
          <w:szCs w:val="20"/>
        </w:rPr>
      </w:pPr>
      <w:r>
        <w:rPr>
          <w:rFonts w:ascii="Calibri" w:hAnsi="Calibri"/>
          <w:sz w:val="32"/>
          <w:szCs w:val="20"/>
        </w:rPr>
        <w:t>Direzione Medica Bristol-Myers Squibb</w:t>
      </w:r>
      <w:r w:rsidR="0060505D" w:rsidRPr="00424E75">
        <w:rPr>
          <w:rFonts w:ascii="Calibri" w:hAnsi="Calibri"/>
          <w:sz w:val="32"/>
          <w:szCs w:val="20"/>
        </w:rPr>
        <w:t xml:space="preserve"> Italia</w:t>
      </w:r>
    </w:p>
    <w:p w:rsidR="0060505D" w:rsidRDefault="0060505D" w:rsidP="0060505D">
      <w:pPr>
        <w:tabs>
          <w:tab w:val="left" w:pos="2344"/>
        </w:tabs>
        <w:jc w:val="center"/>
        <w:rPr>
          <w:rFonts w:ascii="Calibri" w:hAnsi="Calibri"/>
          <w:b/>
          <w:sz w:val="40"/>
          <w:szCs w:val="20"/>
        </w:rPr>
      </w:pPr>
    </w:p>
    <w:p w:rsidR="000D1121" w:rsidRDefault="000D1121" w:rsidP="000D1121">
      <w:pPr>
        <w:tabs>
          <w:tab w:val="left" w:pos="2344"/>
        </w:tabs>
        <w:jc w:val="center"/>
        <w:rPr>
          <w:rFonts w:ascii="Calibri" w:hAnsi="Calibri"/>
          <w:b/>
          <w:sz w:val="36"/>
          <w:szCs w:val="20"/>
          <w:u w:val="single"/>
        </w:rPr>
      </w:pPr>
    </w:p>
    <w:p w:rsidR="000D1121" w:rsidRPr="000D1121" w:rsidRDefault="000D1121" w:rsidP="000D1121">
      <w:pPr>
        <w:tabs>
          <w:tab w:val="left" w:pos="2344"/>
        </w:tabs>
        <w:jc w:val="center"/>
        <w:rPr>
          <w:rFonts w:ascii="Calibri" w:hAnsi="Calibri"/>
          <w:b/>
          <w:sz w:val="36"/>
          <w:szCs w:val="20"/>
          <w:u w:val="single"/>
        </w:rPr>
      </w:pPr>
      <w:r w:rsidRPr="000D1121">
        <w:rPr>
          <w:rFonts w:ascii="Calibri" w:hAnsi="Calibri"/>
          <w:b/>
          <w:sz w:val="36"/>
          <w:szCs w:val="20"/>
          <w:u w:val="single"/>
        </w:rPr>
        <w:t xml:space="preserve">Venerdì </w:t>
      </w:r>
      <w:r w:rsidR="008C69AF">
        <w:rPr>
          <w:rFonts w:ascii="Calibri" w:hAnsi="Calibri"/>
          <w:b/>
          <w:sz w:val="36"/>
          <w:szCs w:val="20"/>
          <w:u w:val="single"/>
        </w:rPr>
        <w:t>2</w:t>
      </w:r>
      <w:r w:rsidRPr="000D1121">
        <w:rPr>
          <w:rFonts w:ascii="Calibri" w:hAnsi="Calibri"/>
          <w:b/>
          <w:sz w:val="36"/>
          <w:szCs w:val="20"/>
          <w:u w:val="single"/>
        </w:rPr>
        <w:t xml:space="preserve">7 </w:t>
      </w:r>
      <w:r w:rsidR="008C69AF">
        <w:rPr>
          <w:rFonts w:ascii="Calibri" w:hAnsi="Calibri"/>
          <w:b/>
          <w:sz w:val="36"/>
          <w:szCs w:val="20"/>
          <w:u w:val="single"/>
        </w:rPr>
        <w:t>Marzo</w:t>
      </w:r>
      <w:r w:rsidRPr="000D1121">
        <w:rPr>
          <w:rFonts w:ascii="Calibri" w:hAnsi="Calibri"/>
          <w:b/>
          <w:sz w:val="36"/>
          <w:szCs w:val="20"/>
          <w:u w:val="single"/>
        </w:rPr>
        <w:t xml:space="preserve"> 2015, Ore 15-17</w:t>
      </w:r>
    </w:p>
    <w:p w:rsidR="000D1121" w:rsidRDefault="000D1121" w:rsidP="0060505D">
      <w:pPr>
        <w:tabs>
          <w:tab w:val="left" w:pos="2344"/>
        </w:tabs>
        <w:jc w:val="center"/>
        <w:rPr>
          <w:rFonts w:ascii="Calibri" w:hAnsi="Calibri"/>
          <w:b/>
          <w:sz w:val="36"/>
          <w:szCs w:val="20"/>
        </w:rPr>
      </w:pPr>
    </w:p>
    <w:p w:rsidR="0060505D" w:rsidRPr="000D1121" w:rsidRDefault="0060505D" w:rsidP="0060505D">
      <w:pPr>
        <w:tabs>
          <w:tab w:val="left" w:pos="2344"/>
        </w:tabs>
        <w:jc w:val="center"/>
        <w:rPr>
          <w:rFonts w:ascii="Calibri" w:hAnsi="Calibri"/>
          <w:b/>
          <w:sz w:val="36"/>
          <w:szCs w:val="20"/>
          <w:u w:val="single"/>
        </w:rPr>
      </w:pPr>
      <w:r w:rsidRPr="000D1121">
        <w:rPr>
          <w:rFonts w:ascii="Calibri" w:hAnsi="Calibri"/>
          <w:b/>
          <w:sz w:val="36"/>
          <w:szCs w:val="20"/>
          <w:u w:val="single"/>
        </w:rPr>
        <w:t>Aula Meeting Malattie Infettive</w:t>
      </w:r>
      <w:r w:rsidR="00424E75" w:rsidRPr="000D1121">
        <w:rPr>
          <w:rFonts w:ascii="Calibri" w:hAnsi="Calibri"/>
          <w:b/>
          <w:sz w:val="36"/>
          <w:szCs w:val="20"/>
          <w:u w:val="single"/>
        </w:rPr>
        <w:t>, Padiglione 6, 3° piano</w:t>
      </w:r>
    </w:p>
    <w:p w:rsidR="0060505D" w:rsidRPr="0060505D" w:rsidRDefault="0060505D" w:rsidP="0060505D">
      <w:pPr>
        <w:tabs>
          <w:tab w:val="left" w:pos="2344"/>
        </w:tabs>
        <w:jc w:val="center"/>
        <w:rPr>
          <w:rFonts w:ascii="Calibri" w:hAnsi="Calibri"/>
          <w:b/>
          <w:sz w:val="40"/>
          <w:szCs w:val="20"/>
        </w:rPr>
      </w:pPr>
    </w:p>
    <w:sectPr w:rsidR="0060505D" w:rsidRPr="0060505D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20" w:rsidRDefault="00597E20">
      <w:r>
        <w:separator/>
      </w:r>
    </w:p>
  </w:endnote>
  <w:endnote w:type="continuationSeparator" w:id="1">
    <w:p w:rsidR="00597E20" w:rsidRDefault="0059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5771B8" w:rsidRDefault="008A47C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Prof. Pietro Andreone, UO DI semeiotica Medica -</w:t>
    </w:r>
    <w:r w:rsidR="005771B8">
      <w:rPr>
        <w:rFonts w:ascii="Garamond" w:hAnsi="Garamond"/>
        <w:caps/>
        <w:sz w:val="16"/>
        <w:szCs w:val="16"/>
      </w:rPr>
      <w:t xml:space="preserve"> POLICLINICO S. ORSOLA–MALPIGHI</w:t>
    </w:r>
  </w:p>
  <w:p w:rsidR="00BE1C84" w:rsidRPr="004E6F22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z w:val="16"/>
        <w:szCs w:val="16"/>
      </w:rPr>
    </w:pPr>
    <w:r w:rsidRPr="004E6F22">
      <w:rPr>
        <w:rFonts w:ascii="Garamond" w:hAnsi="Garamond"/>
        <w:sz w:val="16"/>
        <w:szCs w:val="16"/>
      </w:rPr>
      <w:t xml:space="preserve">Via </w:t>
    </w:r>
    <w:r w:rsidR="008A47CB">
      <w:rPr>
        <w:rFonts w:ascii="Garamond" w:hAnsi="Garamond"/>
        <w:sz w:val="16"/>
        <w:szCs w:val="16"/>
      </w:rPr>
      <w:t>Massarenti 9, Padiglione 11</w:t>
    </w:r>
    <w:r w:rsidRPr="004E6F22">
      <w:rPr>
        <w:rFonts w:ascii="Garamond" w:hAnsi="Garamond"/>
        <w:sz w:val="16"/>
        <w:szCs w:val="16"/>
      </w:rPr>
      <w:t xml:space="preserve"> - 401</w:t>
    </w:r>
    <w:r w:rsidR="005771B8" w:rsidRPr="004E6F22">
      <w:rPr>
        <w:rFonts w:ascii="Garamond" w:hAnsi="Garamond"/>
        <w:sz w:val="16"/>
        <w:szCs w:val="16"/>
      </w:rPr>
      <w:t xml:space="preserve">38 Bologna </w:t>
    </w:r>
    <w:r w:rsidR="002459E8">
      <w:rPr>
        <w:rFonts w:ascii="Garamond" w:hAnsi="Garamond"/>
        <w:sz w:val="16"/>
        <w:szCs w:val="16"/>
      </w:rPr>
      <w:t>-</w:t>
    </w:r>
    <w:r w:rsidR="005771B8" w:rsidRPr="004E6F22">
      <w:rPr>
        <w:rFonts w:ascii="Garamond" w:hAnsi="Garamond"/>
        <w:sz w:val="16"/>
        <w:szCs w:val="16"/>
      </w:rPr>
      <w:t xml:space="preserve"> Italia</w:t>
    </w:r>
  </w:p>
  <w:p w:rsidR="004E6F22" w:rsidRPr="004E6F22" w:rsidRDefault="004E6F22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  <w:lang w:val="en-GB"/>
      </w:rPr>
    </w:pPr>
    <w:r w:rsidRPr="008A47CB">
      <w:rPr>
        <w:rFonts w:ascii="Garamond" w:hAnsi="Garamond"/>
        <w:sz w:val="16"/>
        <w:szCs w:val="16"/>
      </w:rPr>
      <w:t xml:space="preserve">Tel.  </w:t>
    </w:r>
    <w:r w:rsidR="008A47CB" w:rsidRPr="008A47CB">
      <w:rPr>
        <w:rFonts w:ascii="Garamond" w:hAnsi="Garamond"/>
        <w:sz w:val="16"/>
        <w:szCs w:val="16"/>
        <w:lang w:val="en-US"/>
      </w:rPr>
      <w:t>051 6363618</w:t>
    </w:r>
    <w:r w:rsidRPr="008A47CB">
      <w:rPr>
        <w:rFonts w:ascii="Garamond" w:hAnsi="Garamond"/>
        <w:sz w:val="16"/>
        <w:szCs w:val="16"/>
        <w:lang w:val="en-US"/>
      </w:rPr>
      <w:t xml:space="preserve"> – Fax  051 </w:t>
    </w:r>
    <w:r w:rsidR="008A47CB">
      <w:rPr>
        <w:rFonts w:ascii="Garamond" w:hAnsi="Garamond"/>
        <w:sz w:val="16"/>
        <w:szCs w:val="16"/>
        <w:lang w:val="en-US"/>
      </w:rPr>
      <w:t>345806</w:t>
    </w:r>
    <w:r w:rsidRPr="008A47CB">
      <w:rPr>
        <w:rFonts w:ascii="Garamond" w:hAnsi="Garamond"/>
        <w:sz w:val="16"/>
        <w:szCs w:val="16"/>
        <w:lang w:val="en-US"/>
      </w:rPr>
      <w:t xml:space="preserve"> – mail  </w:t>
    </w:r>
    <w:r w:rsidR="008A47CB">
      <w:rPr>
        <w:rFonts w:ascii="Garamond" w:hAnsi="Garamond"/>
        <w:sz w:val="16"/>
        <w:szCs w:val="16"/>
        <w:lang w:val="en-US"/>
      </w:rPr>
      <w:t>pietro.andreone@unibo.it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20" w:rsidRDefault="00597E20">
      <w:r>
        <w:separator/>
      </w:r>
    </w:p>
  </w:footnote>
  <w:footnote w:type="continuationSeparator" w:id="1">
    <w:p w:rsidR="00597E20" w:rsidRDefault="0059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84" w:rsidRDefault="008C69AF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61460" cy="152019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152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1121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6C5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9E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E75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908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6F2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97E20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05D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677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2FD6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6DE6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57513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62E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6CAD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7CB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9AF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AC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0BAB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A1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5BB1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3488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427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3EDC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Marzo 2015, Piergentili </dc:title>
  <dc:subject>Meeting</dc:subject>
  <dc:creator>Pietro Andreone</dc:creator>
  <cp:keywords/>
  <dc:description/>
  <cp:lastModifiedBy>Pietro Andreone</cp:lastModifiedBy>
  <cp:revision>2</cp:revision>
  <cp:lastPrinted>2015-02-12T08:58:00Z</cp:lastPrinted>
  <dcterms:created xsi:type="dcterms:W3CDTF">2015-02-28T11:45:00Z</dcterms:created>
  <dcterms:modified xsi:type="dcterms:W3CDTF">2015-02-28T11:45:00Z</dcterms:modified>
</cp:coreProperties>
</file>